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spacing w:after="240" w:line="276" w:lineRule="auto"/>
        <w:jc w:val="center"/>
        <w:rPr>
          <w:rFonts w:ascii="Arial" w:cs="Arial" w:eastAsia="Arial" w:hAnsi="Arial"/>
          <w:b w:val="1"/>
          <w:i w:val="1"/>
          <w:color w:val="ff0000"/>
        </w:rPr>
      </w:pPr>
      <w:r w:rsidDel="00000000" w:rsidR="00000000" w:rsidRPr="00000000">
        <w:rPr>
          <w:rFonts w:ascii="Arial" w:cs="Arial" w:eastAsia="Arial" w:hAnsi="Arial"/>
          <w:b w:val="1"/>
          <w:color w:val="2f5496"/>
          <w:sz w:val="28"/>
          <w:szCs w:val="28"/>
          <w:rtl w:val="0"/>
        </w:rPr>
        <w:t xml:space="preserve">Step #3- Extent of Compliance for All Schools with the LSWP </w:t>
      </w:r>
      <w:r w:rsidDel="00000000" w:rsidR="00000000" w:rsidRPr="00000000">
        <w:rPr>
          <w:rtl w:val="0"/>
        </w:rPr>
      </w:r>
    </w:p>
    <w:tbl>
      <w:tblPr>
        <w:tblStyle w:val="Table1"/>
        <w:tblW w:w="9349.999999999998"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A0"/>
      </w:tblPr>
      <w:tblGrid>
        <w:gridCol w:w="3685"/>
        <w:gridCol w:w="1888"/>
        <w:gridCol w:w="1888"/>
        <w:gridCol w:w="1889"/>
        <w:tblGridChange w:id="0">
          <w:tblGrid>
            <w:gridCol w:w="3685"/>
            <w:gridCol w:w="1888"/>
            <w:gridCol w:w="1888"/>
            <w:gridCol w:w="1889"/>
          </w:tblGrid>
        </w:tblGridChange>
      </w:tblGrid>
      <w:tr>
        <w:trPr>
          <w:cantSplit w:val="0"/>
          <w:trHeight w:val="1118.90625" w:hRule="atLeast"/>
          <w:tblHeader w:val="1"/>
        </w:trPr>
        <w:tc>
          <w:tcPr/>
          <w:p w:rsidR="00000000" w:rsidDel="00000000" w:rsidP="00000000" w:rsidRDefault="00000000" w:rsidRPr="00000000" w14:paraId="00000002">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Policy Area**</w:t>
            </w:r>
          </w:p>
          <w:p w:rsidR="00000000" w:rsidDel="00000000" w:rsidP="00000000" w:rsidRDefault="00000000" w:rsidRPr="00000000" w14:paraId="0000000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(Write the requirements included in your LSWP in the column below)</w:t>
            </w:r>
          </w:p>
        </w:tc>
        <w:tc>
          <w:tcPr/>
          <w:p w:rsidR="00000000" w:rsidDel="00000000" w:rsidP="00000000" w:rsidRDefault="00000000" w:rsidRPr="00000000" w14:paraId="00000004">
            <w:pPr>
              <w:rPr>
                <w:rFonts w:ascii="Arial" w:cs="Arial" w:eastAsia="Arial" w:hAnsi="Arial"/>
                <w:sz w:val="24"/>
                <w:szCs w:val="24"/>
              </w:rPr>
            </w:pPr>
            <w:r w:rsidDel="00000000" w:rsidR="00000000" w:rsidRPr="00000000">
              <w:rPr>
                <w:rFonts w:ascii="Arial" w:cs="Arial" w:eastAsia="Arial" w:hAnsi="Arial"/>
                <w:sz w:val="24"/>
                <w:szCs w:val="24"/>
                <w:rtl w:val="0"/>
              </w:rPr>
              <w:t xml:space="preserve">Not Met (Number of Schools)</w:t>
            </w:r>
          </w:p>
        </w:tc>
        <w:tc>
          <w:tcPr/>
          <w:p w:rsidR="00000000" w:rsidDel="00000000" w:rsidP="00000000" w:rsidRDefault="00000000" w:rsidRPr="00000000" w14:paraId="00000005">
            <w:pPr>
              <w:rPr>
                <w:rFonts w:ascii="Arial" w:cs="Arial" w:eastAsia="Arial" w:hAnsi="Arial"/>
                <w:sz w:val="24"/>
                <w:szCs w:val="24"/>
              </w:rPr>
            </w:pPr>
            <w:r w:rsidDel="00000000" w:rsidR="00000000" w:rsidRPr="00000000">
              <w:rPr>
                <w:rFonts w:ascii="Arial" w:cs="Arial" w:eastAsia="Arial" w:hAnsi="Arial"/>
                <w:sz w:val="24"/>
                <w:szCs w:val="24"/>
                <w:rtl w:val="0"/>
              </w:rPr>
              <w:t xml:space="preserve">Partial Compliance (Number of Schools)</w:t>
            </w:r>
          </w:p>
        </w:tc>
        <w:tc>
          <w:tcPr/>
          <w:p w:rsidR="00000000" w:rsidDel="00000000" w:rsidP="00000000" w:rsidRDefault="00000000" w:rsidRPr="00000000" w14:paraId="00000006">
            <w:pPr>
              <w:rPr>
                <w:rFonts w:ascii="Arial" w:cs="Arial" w:eastAsia="Arial" w:hAnsi="Arial"/>
                <w:sz w:val="24"/>
                <w:szCs w:val="24"/>
              </w:rPr>
            </w:pPr>
            <w:r w:rsidDel="00000000" w:rsidR="00000000" w:rsidRPr="00000000">
              <w:rPr>
                <w:rFonts w:ascii="Arial" w:cs="Arial" w:eastAsia="Arial" w:hAnsi="Arial"/>
                <w:sz w:val="24"/>
                <w:szCs w:val="24"/>
                <w:rtl w:val="0"/>
              </w:rPr>
              <w:t xml:space="preserve">Full Compliance</w:t>
            </w:r>
          </w:p>
          <w:p w:rsidR="00000000" w:rsidDel="00000000" w:rsidP="00000000" w:rsidRDefault="00000000" w:rsidRPr="00000000" w14:paraId="00000007">
            <w:pPr>
              <w:rPr>
                <w:rFonts w:ascii="Arial" w:cs="Arial" w:eastAsia="Arial" w:hAnsi="Arial"/>
                <w:sz w:val="24"/>
                <w:szCs w:val="24"/>
              </w:rPr>
            </w:pPr>
            <w:r w:rsidDel="00000000" w:rsidR="00000000" w:rsidRPr="00000000">
              <w:rPr>
                <w:rFonts w:ascii="Arial" w:cs="Arial" w:eastAsia="Arial" w:hAnsi="Arial"/>
                <w:sz w:val="24"/>
                <w:szCs w:val="24"/>
                <w:rtl w:val="0"/>
              </w:rPr>
              <w:t xml:space="preserve">(Number of Schools)</w:t>
            </w:r>
          </w:p>
        </w:tc>
      </w:tr>
      <w:tr>
        <w:trPr>
          <w:cantSplit w:val="0"/>
          <w:trHeight w:val="684.171974522293" w:hRule="atLeast"/>
          <w:tblHeader w:val="0"/>
        </w:trPr>
        <w:tc>
          <w:tcPr/>
          <w:p w:rsidR="00000000" w:rsidDel="00000000" w:rsidP="00000000" w:rsidRDefault="00000000" w:rsidRPr="00000000" w14:paraId="00000008">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Nutrition Education/Promotion Goal(s)</w:t>
            </w:r>
          </w:p>
          <w:p w:rsidR="00000000" w:rsidDel="00000000" w:rsidP="00000000" w:rsidRDefault="00000000" w:rsidRPr="00000000" w14:paraId="00000009">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Student surveys and taste test opportunities to inform menu development, dining space decor and promotional ideas. (Pg 4 of policy)</w:t>
            </w:r>
          </w:p>
          <w:p w:rsidR="00000000" w:rsidDel="00000000" w:rsidP="00000000" w:rsidRDefault="00000000" w:rsidRPr="00000000" w14:paraId="0000000A">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The District may also operate additional nutrition-related programs and activities (Pg 3 of policy)</w:t>
            </w:r>
          </w:p>
          <w:p w:rsidR="00000000" w:rsidDel="00000000" w:rsidP="00000000" w:rsidRDefault="00000000" w:rsidRPr="00000000" w14:paraId="0000000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Nutrition promotion also included marketing and advertising nutritious foods and beverages to students and is most effective when implemented consistently through a comprehensive and multi-channel approach by school staff, teachers, parents, students and the community… </w:t>
            </w:r>
          </w:p>
          <w:p w:rsidR="00000000" w:rsidDel="00000000" w:rsidP="00000000" w:rsidRDefault="00000000" w:rsidRPr="00000000" w14:paraId="0000000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Nutrition Education: The district will teach, model, encourage and support healthy eating by all students. (Pg 5)</w:t>
            </w:r>
          </w:p>
          <w:p w:rsidR="00000000" w:rsidDel="00000000" w:rsidP="00000000" w:rsidRDefault="00000000" w:rsidRPr="00000000" w14:paraId="0000000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Healthy Eating topics are included on pg 6 of policy</w:t>
            </w:r>
          </w:p>
          <w:p w:rsidR="00000000" w:rsidDel="00000000" w:rsidP="00000000" w:rsidRDefault="00000000" w:rsidRPr="00000000" w14:paraId="0000000E">
            <w:pPr>
              <w:jc w:val="cente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0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1">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2">
            <w:pPr>
              <w:rPr>
                <w:rFonts w:ascii="Arial" w:cs="Arial" w:eastAsia="Arial" w:hAnsi="Arial"/>
                <w:sz w:val="24"/>
                <w:szCs w:val="24"/>
              </w:rPr>
            </w:pPr>
            <w:r w:rsidDel="00000000" w:rsidR="00000000" w:rsidRPr="00000000">
              <w:rPr>
                <w:rFonts w:ascii="Arial" w:cs="Arial" w:eastAsia="Arial" w:hAnsi="Arial"/>
                <w:sz w:val="24"/>
                <w:szCs w:val="24"/>
                <w:rtl w:val="0"/>
              </w:rPr>
              <w:t xml:space="preserve">Taste tests are offered quarterly or more frequently and monthly Wellness Newsletter is posted in school. Multiple classes incorporate cooking skills into lesson plans and nutritional information is shared with students as appropriate during class.</w:t>
            </w:r>
          </w:p>
        </w:tc>
      </w:tr>
      <w:tr>
        <w:trPr>
          <w:cantSplit w:val="0"/>
          <w:trHeight w:val="684.171974522293" w:hRule="atLeast"/>
          <w:tblHeader w:val="0"/>
        </w:trPr>
        <w:tc>
          <w:tcPr/>
          <w:p w:rsidR="00000000" w:rsidDel="00000000" w:rsidP="00000000" w:rsidRDefault="00000000" w:rsidRPr="00000000" w14:paraId="00000013">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Physical Activity Goal(s)</w:t>
            </w:r>
          </w:p>
          <w:p w:rsidR="00000000" w:rsidDel="00000000" w:rsidP="00000000" w:rsidRDefault="00000000" w:rsidRPr="00000000" w14:paraId="00000014">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(Page 7 of the Policy)</w:t>
            </w:r>
          </w:p>
          <w:p w:rsidR="00000000" w:rsidDel="00000000" w:rsidP="00000000" w:rsidRDefault="00000000" w:rsidRPr="00000000" w14:paraId="00000015">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Children and adolescents should participate in at least 60 minutes of physical activity every day.</w:t>
            </w:r>
          </w:p>
          <w:p w:rsidR="00000000" w:rsidDel="00000000" w:rsidP="00000000" w:rsidRDefault="00000000" w:rsidRPr="00000000" w14:paraId="00000016">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Physical Education (Pg 8)</w:t>
            </w:r>
          </w:p>
          <w:p w:rsidR="00000000" w:rsidDel="00000000" w:rsidP="00000000" w:rsidRDefault="00000000" w:rsidRPr="00000000" w14:paraId="00000017">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Recess (Pg 9)</w:t>
            </w:r>
          </w:p>
        </w:tc>
        <w:tc>
          <w:tcPr/>
          <w:p w:rsidR="00000000" w:rsidDel="00000000" w:rsidP="00000000" w:rsidRDefault="00000000" w:rsidRPr="00000000" w14:paraId="0000001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9">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A">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1B">
            <w:pPr>
              <w:rPr>
                <w:rFonts w:ascii="Arial" w:cs="Arial" w:eastAsia="Arial" w:hAnsi="Arial"/>
                <w:sz w:val="24"/>
                <w:szCs w:val="24"/>
              </w:rPr>
            </w:pPr>
            <w:r w:rsidDel="00000000" w:rsidR="00000000" w:rsidRPr="00000000">
              <w:rPr>
                <w:rFonts w:ascii="Arial" w:cs="Arial" w:eastAsia="Arial" w:hAnsi="Arial"/>
                <w:sz w:val="24"/>
                <w:szCs w:val="24"/>
                <w:rtl w:val="0"/>
              </w:rPr>
              <w:t xml:space="preserve">PE time and recess time exceeds the standards for elementary. Junior high and high school students have the opportunity during lunch break and before and after school to utilize the weight room, gym, outdoor area and Just Move It walking program for physical activity along with sports.</w:t>
            </w:r>
          </w:p>
        </w:tc>
      </w:tr>
      <w:tr>
        <w:trPr>
          <w:cantSplit w:val="0"/>
          <w:trHeight w:val="684.171974522293" w:hRule="atLeast"/>
          <w:tblHeader w:val="0"/>
        </w:trPr>
        <w:tc>
          <w:tcPr/>
          <w:p w:rsidR="00000000" w:rsidDel="00000000" w:rsidP="00000000" w:rsidRDefault="00000000" w:rsidRPr="00000000" w14:paraId="0000001C">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Other Student Wellness Goal(s)</w:t>
            </w:r>
          </w:p>
          <w:p w:rsidR="00000000" w:rsidDel="00000000" w:rsidP="00000000" w:rsidRDefault="00000000" w:rsidRPr="00000000" w14:paraId="0000001D">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Staff Wellness and Health Promotion (Page 11)</w:t>
            </w:r>
          </w:p>
        </w:tc>
        <w:tc>
          <w:tcPr/>
          <w:p w:rsidR="00000000" w:rsidDel="00000000" w:rsidP="00000000" w:rsidRDefault="00000000" w:rsidRPr="00000000" w14:paraId="0000001E">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1F">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0">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21">
            <w:pPr>
              <w:rPr>
                <w:rFonts w:ascii="Arial" w:cs="Arial" w:eastAsia="Arial" w:hAnsi="Arial"/>
                <w:sz w:val="24"/>
                <w:szCs w:val="24"/>
              </w:rPr>
            </w:pPr>
            <w:r w:rsidDel="00000000" w:rsidR="00000000" w:rsidRPr="00000000">
              <w:rPr>
                <w:rFonts w:ascii="Arial" w:cs="Arial" w:eastAsia="Arial" w:hAnsi="Arial"/>
                <w:sz w:val="24"/>
                <w:szCs w:val="24"/>
                <w:rtl w:val="0"/>
              </w:rPr>
              <w:t xml:space="preserve">Staff participates in the EHA wellness challenges and the Just Move It walking in the mornings. The weight room is open for staff use and staff models healthy habits to students.</w:t>
            </w:r>
          </w:p>
        </w:tc>
      </w:tr>
      <w:tr>
        <w:trPr>
          <w:cantSplit w:val="0"/>
          <w:trHeight w:val="684.171974522293" w:hRule="atLeast"/>
          <w:tblHeader w:val="0"/>
        </w:trPr>
        <w:tc>
          <w:tcPr>
            <w:gridSpan w:val="4"/>
          </w:tcPr>
          <w:p w:rsidR="00000000" w:rsidDel="00000000" w:rsidP="00000000" w:rsidRDefault="00000000" w:rsidRPr="00000000" w14:paraId="00000022">
            <w:pPr>
              <w:jc w:val="center"/>
              <w:rPr>
                <w:rFonts w:ascii="Arial" w:cs="Arial" w:eastAsia="Arial" w:hAnsi="Arial"/>
                <w:color w:val="ff0000"/>
                <w:sz w:val="24"/>
                <w:szCs w:val="24"/>
              </w:rPr>
            </w:pPr>
            <w:r w:rsidDel="00000000" w:rsidR="00000000" w:rsidRPr="00000000">
              <w:rPr>
                <w:rFonts w:ascii="Arial" w:cs="Arial" w:eastAsia="Arial" w:hAnsi="Arial"/>
                <w:color w:val="38761d"/>
                <w:sz w:val="24"/>
                <w:szCs w:val="24"/>
                <w:rtl w:val="0"/>
              </w:rPr>
              <w:t xml:space="preserve">Non-goal related requirements of LWP- outline how you are meeting these elements in your LPW and the levels of compliance</w:t>
            </w:r>
            <w:r w:rsidDel="00000000" w:rsidR="00000000" w:rsidRPr="00000000">
              <w:rPr>
                <w:rFonts w:ascii="Arial" w:cs="Arial" w:eastAsia="Arial" w:hAnsi="Arial"/>
                <w:color w:val="ff0000"/>
                <w:sz w:val="24"/>
                <w:szCs w:val="24"/>
                <w:rtl w:val="0"/>
              </w:rPr>
              <w:t xml:space="preserve">**</w:t>
            </w:r>
          </w:p>
        </w:tc>
      </w:tr>
      <w:tr>
        <w:trPr>
          <w:cantSplit w:val="0"/>
          <w:trHeight w:val="684.171974522293" w:hRule="atLeast"/>
          <w:tblHeader w:val="0"/>
        </w:trPr>
        <w:tc>
          <w:tcPr/>
          <w:p w:rsidR="00000000" w:rsidDel="00000000" w:rsidP="00000000" w:rsidRDefault="00000000" w:rsidRPr="00000000" w14:paraId="00000026">
            <w:pPr>
              <w:jc w:val="center"/>
              <w:rPr>
                <w:rFonts w:ascii="Arial" w:cs="Arial" w:eastAsia="Arial" w:hAnsi="Arial"/>
                <w:sz w:val="24"/>
                <w:szCs w:val="24"/>
              </w:rPr>
            </w:pPr>
            <w:hyperlink r:id="rId7">
              <w:r w:rsidDel="00000000" w:rsidR="00000000" w:rsidRPr="00000000">
                <w:rPr>
                  <w:rFonts w:ascii="Arial" w:cs="Arial" w:eastAsia="Arial" w:hAnsi="Arial"/>
                  <w:color w:val="1155cc"/>
                  <w:sz w:val="24"/>
                  <w:szCs w:val="24"/>
                  <w:u w:val="single"/>
                  <w:rtl w:val="0"/>
                </w:rPr>
                <w:t xml:space="preserve">Federal/State Meal Standards</w:t>
              </w:r>
            </w:hyperlink>
            <w:r w:rsidDel="00000000" w:rsidR="00000000" w:rsidRPr="00000000">
              <w:rPr>
                <w:rFonts w:ascii="Arial" w:cs="Arial" w:eastAsia="Arial" w:hAnsi="Arial"/>
                <w:sz w:val="24"/>
                <w:szCs w:val="24"/>
                <w:rtl w:val="0"/>
              </w:rPr>
              <w:t xml:space="preserve"> are Met</w:t>
            </w:r>
          </w:p>
        </w:tc>
        <w:tc>
          <w:tcPr/>
          <w:p w:rsidR="00000000" w:rsidDel="00000000" w:rsidP="00000000" w:rsidRDefault="00000000" w:rsidRPr="00000000" w14:paraId="00000027">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8">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9">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2A">
            <w:pPr>
              <w:rPr>
                <w:rFonts w:ascii="Arial" w:cs="Arial" w:eastAsia="Arial" w:hAnsi="Arial"/>
                <w:sz w:val="24"/>
                <w:szCs w:val="24"/>
              </w:rPr>
            </w:pPr>
            <w:r w:rsidDel="00000000" w:rsidR="00000000" w:rsidRPr="00000000">
              <w:rPr>
                <w:rFonts w:ascii="Arial" w:cs="Arial" w:eastAsia="Arial" w:hAnsi="Arial"/>
                <w:sz w:val="24"/>
                <w:szCs w:val="24"/>
                <w:rtl w:val="0"/>
              </w:rPr>
              <w:t xml:space="preserve">Meal standards are followed by kitchen and lunchroom personnel.</w:t>
            </w:r>
          </w:p>
        </w:tc>
      </w:tr>
      <w:tr>
        <w:trPr>
          <w:cantSplit w:val="0"/>
          <w:trHeight w:val="684.171974522293" w:hRule="atLeast"/>
          <w:tblHeader w:val="0"/>
        </w:trPr>
        <w:tc>
          <w:tcPr/>
          <w:p w:rsidR="00000000" w:rsidDel="00000000" w:rsidP="00000000" w:rsidRDefault="00000000" w:rsidRPr="00000000" w14:paraId="0000002B">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Foods Offered but Not Sold to Students Standards</w:t>
            </w:r>
          </w:p>
        </w:tc>
        <w:tc>
          <w:tcPr/>
          <w:p w:rsidR="00000000" w:rsidDel="00000000" w:rsidP="00000000" w:rsidRDefault="00000000" w:rsidRPr="00000000" w14:paraId="0000002C">
            <w:pPr>
              <w:ind w:left="720" w:firstLine="0"/>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2D">
            <w:pPr>
              <w:rPr>
                <w:rFonts w:ascii="Arial" w:cs="Arial" w:eastAsia="Arial" w:hAnsi="Arial"/>
                <w:sz w:val="24"/>
                <w:szCs w:val="24"/>
              </w:rPr>
            </w:pPr>
            <w:r w:rsidDel="00000000" w:rsidR="00000000" w:rsidRPr="00000000">
              <w:rPr>
                <w:rFonts w:ascii="Arial" w:cs="Arial" w:eastAsia="Arial" w:hAnsi="Arial"/>
                <w:sz w:val="24"/>
                <w:szCs w:val="24"/>
                <w:rtl w:val="0"/>
              </w:rPr>
              <w:t xml:space="preserve">1 There is not a specific goal or standard for classroom snacks and parties. The wellness committee will need to create a policy that addresses this but has a general policy for foods that the school provides.</w:t>
            </w:r>
          </w:p>
        </w:tc>
        <w:tc>
          <w:tcPr/>
          <w:p w:rsidR="00000000" w:rsidDel="00000000" w:rsidP="00000000" w:rsidRDefault="00000000" w:rsidRPr="00000000" w14:paraId="0000002E">
            <w:pPr>
              <w:rPr>
                <w:rFonts w:ascii="Arial" w:cs="Arial" w:eastAsia="Arial" w:hAnsi="Arial"/>
                <w:sz w:val="24"/>
                <w:szCs w:val="24"/>
              </w:rPr>
            </w:pPr>
            <w:r w:rsidDel="00000000" w:rsidR="00000000" w:rsidRPr="00000000">
              <w:rPr>
                <w:rtl w:val="0"/>
              </w:rPr>
            </w:r>
          </w:p>
        </w:tc>
      </w:tr>
      <w:tr>
        <w:trPr>
          <w:cantSplit w:val="0"/>
          <w:trHeight w:val="1118.90625" w:hRule="atLeast"/>
          <w:tblHeader w:val="0"/>
        </w:trPr>
        <w:tc>
          <w:tcPr/>
          <w:p w:rsidR="00000000" w:rsidDel="00000000" w:rsidP="00000000" w:rsidRDefault="00000000" w:rsidRPr="00000000" w14:paraId="0000002F">
            <w:pPr>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Food and Beverage Marketing (</w:t>
            </w:r>
            <w:hyperlink r:id="rId8">
              <w:r w:rsidDel="00000000" w:rsidR="00000000" w:rsidRPr="00000000">
                <w:rPr>
                  <w:rFonts w:ascii="Arial" w:cs="Arial" w:eastAsia="Arial" w:hAnsi="Arial"/>
                  <w:color w:val="1155cc"/>
                  <w:sz w:val="24"/>
                  <w:szCs w:val="24"/>
                  <w:u w:val="single"/>
                  <w:rtl w:val="0"/>
                </w:rPr>
                <w:t xml:space="preserve">SMART Snacks regulations</w:t>
              </w:r>
            </w:hyperlink>
            <w:r w:rsidDel="00000000" w:rsidR="00000000" w:rsidRPr="00000000">
              <w:rPr>
                <w:rFonts w:ascii="Arial" w:cs="Arial" w:eastAsia="Arial" w:hAnsi="Arial"/>
                <w:sz w:val="24"/>
                <w:szCs w:val="24"/>
                <w:rtl w:val="0"/>
              </w:rPr>
              <w:t xml:space="preserve">- ala carte and vending, food sales during the school day)</w:t>
            </w:r>
          </w:p>
        </w:tc>
        <w:tc>
          <w:tcPr/>
          <w:p w:rsidR="00000000" w:rsidDel="00000000" w:rsidP="00000000" w:rsidRDefault="00000000" w:rsidRPr="00000000" w14:paraId="00000030">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1">
            <w:pPr>
              <w:rPr>
                <w:rFonts w:ascii="Arial" w:cs="Arial" w:eastAsia="Arial" w:hAnsi="Arial"/>
                <w:sz w:val="24"/>
                <w:szCs w:val="24"/>
              </w:rPr>
            </w:pPr>
            <w:r w:rsidDel="00000000" w:rsidR="00000000" w:rsidRPr="00000000">
              <w:rPr>
                <w:rtl w:val="0"/>
              </w:rPr>
            </w:r>
          </w:p>
        </w:tc>
        <w:tc>
          <w:tcPr/>
          <w:p w:rsidR="00000000" w:rsidDel="00000000" w:rsidP="00000000" w:rsidRDefault="00000000" w:rsidRPr="00000000" w14:paraId="00000032">
            <w:pPr>
              <w:rPr>
                <w:rFonts w:ascii="Arial" w:cs="Arial" w:eastAsia="Arial" w:hAnsi="Arial"/>
                <w:sz w:val="24"/>
                <w:szCs w:val="24"/>
              </w:rPr>
            </w:pPr>
            <w:r w:rsidDel="00000000" w:rsidR="00000000" w:rsidRPr="00000000">
              <w:rPr>
                <w:rFonts w:ascii="Arial" w:cs="Arial" w:eastAsia="Arial" w:hAnsi="Arial"/>
                <w:sz w:val="24"/>
                <w:szCs w:val="24"/>
                <w:rtl w:val="0"/>
              </w:rPr>
              <w:t xml:space="preserve">1</w:t>
            </w:r>
          </w:p>
          <w:p w:rsidR="00000000" w:rsidDel="00000000" w:rsidP="00000000" w:rsidRDefault="00000000" w:rsidRPr="00000000" w14:paraId="00000033">
            <w:pPr>
              <w:rPr>
                <w:rFonts w:ascii="Arial" w:cs="Arial" w:eastAsia="Arial" w:hAnsi="Arial"/>
                <w:sz w:val="24"/>
                <w:szCs w:val="24"/>
              </w:rPr>
            </w:pPr>
            <w:r w:rsidDel="00000000" w:rsidR="00000000" w:rsidRPr="00000000">
              <w:rPr>
                <w:rFonts w:ascii="Arial" w:cs="Arial" w:eastAsia="Arial" w:hAnsi="Arial"/>
                <w:sz w:val="24"/>
                <w:szCs w:val="24"/>
                <w:rtl w:val="0"/>
              </w:rPr>
              <w:t xml:space="preserve">A Healthy Snacks vending machine is available during the school day and items meet the SMART snacks regulations. Ala carte food meets the standards in the cafeteria. Clubs and organizations are in compliance with the limitations on food sales.</w:t>
            </w:r>
          </w:p>
        </w:tc>
      </w:tr>
    </w:tbl>
    <w:p w:rsidR="00000000" w:rsidDel="00000000" w:rsidP="00000000" w:rsidRDefault="00000000" w:rsidRPr="00000000" w14:paraId="00000034">
      <w:pPr>
        <w:spacing w:after="0" w:line="240" w:lineRule="auto"/>
        <w:rPr>
          <w:rFonts w:ascii="Arial" w:cs="Arial" w:eastAsia="Arial" w:hAnsi="Arial"/>
          <w:i w:val="1"/>
          <w:color w:val="ff0000"/>
          <w:sz w:val="24"/>
          <w:szCs w:val="24"/>
        </w:rPr>
      </w:pPr>
      <w:r w:rsidDel="00000000" w:rsidR="00000000" w:rsidRPr="00000000">
        <w:rPr>
          <w:rFonts w:ascii="Arial" w:cs="Arial" w:eastAsia="Arial" w:hAnsi="Arial"/>
          <w:i w:val="1"/>
          <w:color w:val="ff0000"/>
          <w:sz w:val="24"/>
          <w:szCs w:val="24"/>
          <w:rtl w:val="0"/>
        </w:rPr>
        <w:t xml:space="preserve">**If any of these requirements are not met, you will need to address how you will meet these requirements moving forward as part of the Triennial Assessment summary and how the summary is made available to the public. </w:t>
      </w:r>
    </w:p>
    <w:p w:rsidR="00000000" w:rsidDel="00000000" w:rsidP="00000000" w:rsidRDefault="00000000" w:rsidRPr="00000000" w14:paraId="00000035">
      <w:pPr>
        <w:spacing w:after="0" w:line="240" w:lineRule="auto"/>
        <w:rPr>
          <w:rFonts w:ascii="Arial" w:cs="Arial" w:eastAsia="Arial" w:hAnsi="Arial"/>
          <w:i w:val="1"/>
          <w:color w:val="ff0000"/>
          <w:sz w:val="24"/>
          <w:szCs w:val="24"/>
        </w:rPr>
      </w:pPr>
      <w:r w:rsidDel="00000000" w:rsidR="00000000" w:rsidRPr="00000000">
        <w:rPr>
          <w:rtl w:val="0"/>
        </w:rPr>
      </w:r>
    </w:p>
    <w:tbl>
      <w:tblPr>
        <w:tblStyle w:val="Table2"/>
        <w:tblW w:w="9360.0" w:type="dxa"/>
        <w:jc w:val="left"/>
        <w:tblInd w:w="-108.0" w:type="dxa"/>
        <w:tblBorders>
          <w:top w:color="9cc3e5" w:space="0" w:sz="4" w:val="single"/>
          <w:left w:color="9cc3e5" w:space="0" w:sz="4" w:val="single"/>
          <w:bottom w:color="9cc3e5" w:space="0" w:sz="4" w:val="single"/>
          <w:right w:color="9cc3e5" w:space="0" w:sz="4" w:val="single"/>
          <w:insideH w:color="9cc3e5" w:space="0" w:sz="4" w:val="single"/>
          <w:insideV w:color="9cc3e5" w:space="0" w:sz="4" w:val="single"/>
        </w:tblBorders>
        <w:tblLayout w:type="fixed"/>
        <w:tblLook w:val="04A0"/>
      </w:tblPr>
      <w:tblGrid>
        <w:gridCol w:w="5355"/>
        <w:gridCol w:w="4005"/>
        <w:tblGridChange w:id="0">
          <w:tblGrid>
            <w:gridCol w:w="5355"/>
            <w:gridCol w:w="4005"/>
          </w:tblGrid>
        </w:tblGridChange>
      </w:tblGrid>
      <w:tr>
        <w:trPr>
          <w:cantSplit w:val="0"/>
          <w:trHeight w:val="1052" w:hRule="atLeast"/>
          <w:tblHeader w:val="1"/>
        </w:trPr>
        <w:tc>
          <w:tcPr/>
          <w:p w:rsidR="00000000" w:rsidDel="00000000" w:rsidP="00000000" w:rsidRDefault="00000000" w:rsidRPr="00000000" w14:paraId="00000036">
            <w:pPr>
              <w:jc w:val="center"/>
              <w:rPr>
                <w:rFonts w:ascii="Arial" w:cs="Arial" w:eastAsia="Arial" w:hAnsi="Arial"/>
                <w:color w:val="e7e6e6"/>
                <w:sz w:val="24"/>
                <w:szCs w:val="24"/>
              </w:rPr>
            </w:pPr>
            <w:r w:rsidDel="00000000" w:rsidR="00000000" w:rsidRPr="00000000">
              <w:rPr>
                <w:rFonts w:ascii="Arial" w:cs="Arial" w:eastAsia="Arial" w:hAnsi="Arial"/>
                <w:sz w:val="24"/>
                <w:szCs w:val="24"/>
                <w:rtl w:val="0"/>
              </w:rPr>
              <w:t xml:space="preserve">District LSWP Components</w:t>
            </w:r>
            <w:r w:rsidDel="00000000" w:rsidR="00000000" w:rsidRPr="00000000">
              <w:rPr>
                <w:rtl w:val="0"/>
              </w:rPr>
            </w:r>
          </w:p>
        </w:tc>
        <w:tc>
          <w:tcPr/>
          <w:p w:rsidR="00000000" w:rsidDel="00000000" w:rsidP="00000000" w:rsidRDefault="00000000" w:rsidRPr="00000000" w14:paraId="00000037">
            <w:pPr>
              <w:jc w:val="center"/>
              <w:rPr>
                <w:rFonts w:ascii="Arial" w:cs="Arial" w:eastAsia="Arial" w:hAnsi="Arial"/>
                <w:color w:val="e7e6e6"/>
                <w:sz w:val="24"/>
                <w:szCs w:val="24"/>
              </w:rPr>
            </w:pPr>
            <w:r w:rsidDel="00000000" w:rsidR="00000000" w:rsidRPr="00000000">
              <w:rPr>
                <w:rFonts w:ascii="Arial" w:cs="Arial" w:eastAsia="Arial" w:hAnsi="Arial"/>
                <w:sz w:val="24"/>
                <w:szCs w:val="24"/>
                <w:rtl w:val="0"/>
              </w:rPr>
              <w:t xml:space="preserve">For the components below, indicate whether the district is in compliance.</w:t>
            </w:r>
            <w:r w:rsidDel="00000000" w:rsidR="00000000" w:rsidRPr="00000000">
              <w:rPr>
                <w:rtl w:val="0"/>
              </w:rPr>
            </w:r>
          </w:p>
        </w:tc>
      </w:tr>
      <w:tr>
        <w:trPr>
          <w:cantSplit w:val="0"/>
          <w:trHeight w:val="674" w:hRule="atLeast"/>
          <w:tblHeader w:val="0"/>
        </w:trPr>
        <w:tc>
          <w:tcPr/>
          <w:p w:rsidR="00000000" w:rsidDel="00000000" w:rsidP="00000000" w:rsidRDefault="00000000" w:rsidRPr="00000000" w14:paraId="00000038">
            <w:pPr>
              <w:jc w:val="center"/>
              <w:rPr>
                <w:rFonts w:ascii="Arial" w:cs="Arial" w:eastAsia="Arial" w:hAnsi="Arial"/>
                <w:color w:val="6aa84f"/>
                <w:sz w:val="24"/>
                <w:szCs w:val="24"/>
              </w:rPr>
            </w:pPr>
            <w:r w:rsidDel="00000000" w:rsidR="00000000" w:rsidRPr="00000000">
              <w:rPr>
                <w:rFonts w:ascii="Arial" w:cs="Arial" w:eastAsia="Arial" w:hAnsi="Arial"/>
                <w:color w:val="6aa84f"/>
                <w:sz w:val="24"/>
                <w:szCs w:val="24"/>
                <w:rtl w:val="0"/>
              </w:rPr>
              <w:t xml:space="preserve">Public Involvement- how was the public included in LWP development? (parents, community members, etc.)</w:t>
            </w:r>
          </w:p>
        </w:tc>
        <w:tc>
          <w:tcPr/>
          <w:p w:rsidR="00000000" w:rsidDel="00000000" w:rsidP="00000000" w:rsidRDefault="00000000" w:rsidRPr="00000000" w14:paraId="00000039">
            <w:pPr>
              <w:rPr>
                <w:rFonts w:ascii="Arial" w:cs="Arial" w:eastAsia="Arial" w:hAnsi="Arial"/>
                <w:sz w:val="24"/>
                <w:szCs w:val="24"/>
              </w:rPr>
            </w:pPr>
            <w:r w:rsidDel="00000000" w:rsidR="00000000" w:rsidRPr="00000000">
              <w:rPr>
                <w:rFonts w:ascii="Arial" w:cs="Arial" w:eastAsia="Arial" w:hAnsi="Arial"/>
                <w:sz w:val="24"/>
                <w:szCs w:val="24"/>
                <w:rtl w:val="0"/>
              </w:rPr>
              <w:t xml:space="preserve">Yes. Members of the wellness group met with a small group of parents, community members, and business owners to evaluate the policy and the schools compliance as well as suggestions for improvements which have not been written yet.</w:t>
            </w:r>
          </w:p>
          <w:p w:rsidR="00000000" w:rsidDel="00000000" w:rsidP="00000000" w:rsidRDefault="00000000" w:rsidRPr="00000000" w14:paraId="0000003A">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B">
            <w:pPr>
              <w:rPr>
                <w:rFonts w:ascii="Arial" w:cs="Arial" w:eastAsia="Arial" w:hAnsi="Arial"/>
                <w:sz w:val="24"/>
                <w:szCs w:val="24"/>
              </w:rPr>
            </w:pPr>
            <w:r w:rsidDel="00000000" w:rsidR="00000000" w:rsidRPr="00000000">
              <w:rPr>
                <w:rtl w:val="0"/>
              </w:rPr>
            </w:r>
          </w:p>
        </w:tc>
      </w:tr>
      <w:tr>
        <w:trPr>
          <w:cantSplit w:val="0"/>
          <w:trHeight w:val="674" w:hRule="atLeast"/>
          <w:tblHeader w:val="0"/>
        </w:trPr>
        <w:tc>
          <w:tcPr/>
          <w:p w:rsidR="00000000" w:rsidDel="00000000" w:rsidP="00000000" w:rsidRDefault="00000000" w:rsidRPr="00000000" w14:paraId="0000003C">
            <w:pPr>
              <w:jc w:val="center"/>
              <w:rPr>
                <w:rFonts w:ascii="Arial" w:cs="Arial" w:eastAsia="Arial" w:hAnsi="Arial"/>
                <w:color w:val="2f5496"/>
                <w:sz w:val="24"/>
                <w:szCs w:val="24"/>
              </w:rPr>
            </w:pPr>
            <w:r w:rsidDel="00000000" w:rsidR="00000000" w:rsidRPr="00000000">
              <w:rPr>
                <w:rFonts w:ascii="Arial" w:cs="Arial" w:eastAsia="Arial" w:hAnsi="Arial"/>
                <w:color w:val="2f5496"/>
                <w:sz w:val="24"/>
                <w:szCs w:val="24"/>
                <w:rtl w:val="0"/>
              </w:rPr>
              <w:t xml:space="preserve">Public Notification- how are you notifying the public about your assessment results?</w:t>
            </w:r>
          </w:p>
        </w:tc>
        <w:tc>
          <w:tcPr/>
          <w:p w:rsidR="00000000" w:rsidDel="00000000" w:rsidP="00000000" w:rsidRDefault="00000000" w:rsidRPr="00000000" w14:paraId="0000003D">
            <w:pPr>
              <w:rPr>
                <w:rFonts w:ascii="Arial" w:cs="Arial" w:eastAsia="Arial" w:hAnsi="Arial"/>
                <w:sz w:val="24"/>
                <w:szCs w:val="24"/>
              </w:rPr>
            </w:pPr>
            <w:sdt>
              <w:sdtPr>
                <w:tag w:val="goog_rdk_0"/>
              </w:sdtPr>
              <w:sdtContent>
                <w:r w:rsidDel="00000000" w:rsidR="00000000" w:rsidRPr="00000000">
                  <w:rPr>
                    <w:rFonts w:ascii="Arial Unicode MS" w:cs="Arial Unicode MS" w:eastAsia="Arial Unicode MS" w:hAnsi="Arial Unicode MS"/>
                    <w:sz w:val="24"/>
                    <w:szCs w:val="24"/>
                    <w:rtl w:val="0"/>
                  </w:rPr>
                  <w:t xml:space="preserve">x☐</w:t>
                </w:r>
              </w:sdtContent>
            </w:sdt>
            <w:r w:rsidDel="00000000" w:rsidR="00000000" w:rsidRPr="00000000">
              <w:rPr>
                <w:rFonts w:ascii="Arial" w:cs="Arial" w:eastAsia="Arial" w:hAnsi="Arial"/>
                <w:sz w:val="24"/>
                <w:szCs w:val="24"/>
                <w:rtl w:val="0"/>
              </w:rPr>
              <w:t xml:space="preserve">Yes We have posted information on the school website and a letter was in the newsletter sent to all patrons at the beginning of the school year.</w:t>
            </w:r>
          </w:p>
          <w:p w:rsidR="00000000" w:rsidDel="00000000" w:rsidP="00000000" w:rsidRDefault="00000000" w:rsidRPr="00000000" w14:paraId="0000003E">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3F">
            <w:pPr>
              <w:rPr>
                <w:rFonts w:ascii="Arial" w:cs="Arial" w:eastAsia="Arial" w:hAnsi="Arial"/>
                <w:sz w:val="24"/>
                <w:szCs w:val="24"/>
              </w:rPr>
            </w:pPr>
            <w:r w:rsidDel="00000000" w:rsidR="00000000" w:rsidRPr="00000000">
              <w:rPr>
                <w:rtl w:val="0"/>
              </w:rPr>
            </w:r>
          </w:p>
        </w:tc>
      </w:tr>
      <w:tr>
        <w:trPr>
          <w:cantSplit w:val="0"/>
          <w:trHeight w:val="674" w:hRule="atLeast"/>
          <w:tblHeader w:val="0"/>
        </w:trPr>
        <w:tc>
          <w:tcPr/>
          <w:p w:rsidR="00000000" w:rsidDel="00000000" w:rsidP="00000000" w:rsidRDefault="00000000" w:rsidRPr="00000000" w14:paraId="00000040">
            <w:pPr>
              <w:jc w:val="center"/>
              <w:rPr>
                <w:rFonts w:ascii="Arial" w:cs="Arial" w:eastAsia="Arial" w:hAnsi="Arial"/>
                <w:color w:val="ff0000"/>
                <w:sz w:val="24"/>
                <w:szCs w:val="24"/>
              </w:rPr>
            </w:pPr>
            <w:r w:rsidDel="00000000" w:rsidR="00000000" w:rsidRPr="00000000">
              <w:rPr>
                <w:rFonts w:ascii="Arial" w:cs="Arial" w:eastAsia="Arial" w:hAnsi="Arial"/>
                <w:color w:val="2f5496"/>
                <w:sz w:val="24"/>
                <w:szCs w:val="24"/>
                <w:rtl w:val="0"/>
              </w:rPr>
              <w:t xml:space="preserve">Triennial Assessment- is this posted publicly? </w:t>
            </w:r>
            <w:r w:rsidDel="00000000" w:rsidR="00000000" w:rsidRPr="00000000">
              <w:rPr>
                <w:rFonts w:ascii="Arial" w:cs="Arial" w:eastAsia="Arial" w:hAnsi="Arial"/>
                <w:color w:val="ff0000"/>
                <w:sz w:val="24"/>
                <w:szCs w:val="24"/>
                <w:rtl w:val="0"/>
              </w:rPr>
              <w:t xml:space="preserve">Provide the link</w:t>
            </w:r>
          </w:p>
        </w:tc>
        <w:tc>
          <w:tcPr/>
          <w:p w:rsidR="00000000" w:rsidDel="00000000" w:rsidP="00000000" w:rsidRDefault="00000000" w:rsidRPr="00000000" w14:paraId="00000041">
            <w:pPr>
              <w:rPr>
                <w:rFonts w:ascii="Arial" w:cs="Arial" w:eastAsia="Arial" w:hAnsi="Arial"/>
                <w:sz w:val="24"/>
                <w:szCs w:val="24"/>
              </w:rPr>
            </w:pPr>
            <w:sdt>
              <w:sdtPr>
                <w:tag w:val="goog_rdk_1"/>
              </w:sdtPr>
              <w:sdtContent>
                <w:r w:rsidDel="00000000" w:rsidR="00000000" w:rsidRPr="00000000">
                  <w:rPr>
                    <w:rFonts w:ascii="Arial Unicode MS" w:cs="Arial Unicode MS" w:eastAsia="Arial Unicode MS" w:hAnsi="Arial Unicode MS"/>
                    <w:sz w:val="24"/>
                    <w:szCs w:val="24"/>
                    <w:rtl w:val="0"/>
                  </w:rPr>
                  <w:t xml:space="preserve">x☐</w:t>
                </w:r>
              </w:sdtContent>
            </w:sdt>
            <w:r w:rsidDel="00000000" w:rsidR="00000000" w:rsidRPr="00000000">
              <w:rPr>
                <w:rFonts w:ascii="Arial" w:cs="Arial" w:eastAsia="Arial" w:hAnsi="Arial"/>
                <w:sz w:val="24"/>
                <w:szCs w:val="24"/>
                <w:rtl w:val="0"/>
              </w:rPr>
              <w:t xml:space="preserve">Yes </w:t>
            </w:r>
          </w:p>
          <w:p w:rsidR="00000000" w:rsidDel="00000000" w:rsidP="00000000" w:rsidRDefault="00000000" w:rsidRPr="00000000" w14:paraId="00000042">
            <w:pPr>
              <w:rPr>
                <w:rFonts w:ascii="Arial" w:cs="Arial" w:eastAsia="Arial" w:hAnsi="Arial"/>
                <w:sz w:val="24"/>
                <w:szCs w:val="24"/>
              </w:rPr>
            </w:pPr>
            <w:hyperlink r:id="rId9">
              <w:r w:rsidDel="00000000" w:rsidR="00000000" w:rsidRPr="00000000">
                <w:rPr>
                  <w:rFonts w:ascii="Arial" w:cs="Arial" w:eastAsia="Arial" w:hAnsi="Arial"/>
                  <w:color w:val="1155cc"/>
                  <w:sz w:val="24"/>
                  <w:szCs w:val="24"/>
                  <w:u w:val="single"/>
                  <w:rtl w:val="0"/>
                </w:rPr>
                <w:t xml:space="preserve">https://www.sargentpublicschools.org/vnews/display.v/SEC/School%20Wellness</w:t>
              </w:r>
            </w:hyperlink>
            <w:r w:rsidDel="00000000" w:rsidR="00000000" w:rsidRPr="00000000">
              <w:rPr>
                <w:rtl w:val="0"/>
              </w:rPr>
            </w:r>
          </w:p>
          <w:p w:rsidR="00000000" w:rsidDel="00000000" w:rsidP="00000000" w:rsidRDefault="00000000" w:rsidRPr="00000000" w14:paraId="00000043">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44">
            <w:pPr>
              <w:rPr>
                <w:rFonts w:ascii="Arial" w:cs="Arial" w:eastAsia="Arial" w:hAnsi="Arial"/>
                <w:sz w:val="24"/>
                <w:szCs w:val="24"/>
              </w:rPr>
            </w:pPr>
            <w:sdt>
              <w:sdtPr>
                <w:tag w:val="goog_rdk_2"/>
              </w:sdtPr>
              <w:sdtContent>
                <w:r w:rsidDel="00000000" w:rsidR="00000000" w:rsidRPr="00000000">
                  <w:rPr>
                    <w:rFonts w:ascii="Arial Unicode MS" w:cs="Arial Unicode MS" w:eastAsia="Arial Unicode MS" w:hAnsi="Arial Unicode MS"/>
                    <w:sz w:val="24"/>
                    <w:szCs w:val="24"/>
                    <w:rtl w:val="0"/>
                  </w:rPr>
                  <w:t xml:space="preserve">☐</w:t>
                </w:r>
              </w:sdtContent>
            </w:sdt>
            <w:r w:rsidDel="00000000" w:rsidR="00000000" w:rsidRPr="00000000">
              <w:rPr>
                <w:rFonts w:ascii="Arial" w:cs="Arial" w:eastAsia="Arial" w:hAnsi="Arial"/>
                <w:sz w:val="24"/>
                <w:szCs w:val="24"/>
                <w:rtl w:val="0"/>
              </w:rPr>
              <w:t xml:space="preserve">No</w:t>
            </w:r>
          </w:p>
        </w:tc>
      </w:tr>
    </w:tbl>
    <w:p w:rsidR="00000000" w:rsidDel="00000000" w:rsidP="00000000" w:rsidRDefault="00000000" w:rsidRPr="00000000" w14:paraId="00000045">
      <w:pPr>
        <w:rPr>
          <w:rFonts w:ascii="Arial" w:cs="Arial" w:eastAsia="Arial" w:hAnsi="Arial"/>
          <w:sz w:val="24"/>
          <w:szCs w:val="24"/>
        </w:rPr>
      </w:pPr>
      <w:hyperlink r:id="rId10">
        <w:r w:rsidDel="00000000" w:rsidR="00000000" w:rsidRPr="00000000">
          <w:rPr>
            <w:rFonts w:ascii="Arial" w:cs="Arial" w:eastAsia="Arial" w:hAnsi="Arial"/>
            <w:b w:val="1"/>
            <w:i w:val="1"/>
            <w:color w:val="1155cc"/>
            <w:sz w:val="24"/>
            <w:szCs w:val="24"/>
            <w:u w:val="single"/>
            <w:rtl w:val="0"/>
          </w:rPr>
          <w:t xml:space="preserve">To return to the overview document, click this link</w:t>
        </w:r>
      </w:hyperlink>
      <w:r w:rsidDel="00000000" w:rsidR="00000000" w:rsidRPr="00000000">
        <w:rPr>
          <w:rtl w:val="0"/>
        </w:rPr>
      </w:r>
    </w:p>
    <w:p w:rsidR="00000000" w:rsidDel="00000000" w:rsidP="00000000" w:rsidRDefault="00000000" w:rsidRPr="00000000" w14:paraId="00000046">
      <w:pPr>
        <w:rPr>
          <w:rFonts w:ascii="Arial" w:cs="Arial" w:eastAsia="Arial" w:hAnsi="Arial"/>
          <w:sz w:val="24"/>
          <w:szCs w:val="24"/>
        </w:rPr>
      </w:pPr>
      <w:r w:rsidDel="00000000" w:rsidR="00000000" w:rsidRPr="00000000">
        <w:rPr>
          <w:rFonts w:ascii="Arial" w:cs="Arial" w:eastAsia="Arial" w:hAnsi="Arial"/>
          <w:sz w:val="24"/>
          <w:szCs w:val="24"/>
          <w:rtl w:val="0"/>
        </w:rPr>
        <w:t xml:space="preserve">Questions, contact: </w:t>
      </w:r>
      <w:hyperlink r:id="rId11">
        <w:r w:rsidDel="00000000" w:rsidR="00000000" w:rsidRPr="00000000">
          <w:rPr>
            <w:rFonts w:ascii="Arial" w:cs="Arial" w:eastAsia="Arial" w:hAnsi="Arial"/>
            <w:color w:val="1155cc"/>
            <w:sz w:val="24"/>
            <w:szCs w:val="24"/>
            <w:u w:val="single"/>
            <w:rtl w:val="0"/>
          </w:rPr>
          <w:t xml:space="preserve">jessie.coffey@nebraska.gov</w:t>
        </w:r>
      </w:hyperlink>
      <w:r w:rsidDel="00000000" w:rsidR="00000000" w:rsidRPr="00000000">
        <w:rPr>
          <w:rFonts w:ascii="Arial" w:cs="Arial" w:eastAsia="Arial" w:hAnsi="Arial"/>
          <w:sz w:val="24"/>
          <w:szCs w:val="24"/>
          <w:rtl w:val="0"/>
        </w:rPr>
        <w:t xml:space="preserve"> </w:t>
      </w:r>
    </w:p>
    <w:sectPr>
      <w:footerReference r:id="rId12" w:type="default"/>
      <w:footerReference r:id="rId13" w:type="first"/>
      <w:pgSz w:h="15840" w:w="12240" w:orient="portrait"/>
      <w:pgMar w:bottom="1440" w:top="99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Arial Unicode MS"/>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spacing w:after="0" w:line="240" w:lineRule="auto"/>
      <w:rPr/>
    </w:pPr>
    <w:r w:rsidDel="00000000" w:rsidR="00000000" w:rsidRPr="00000000">
      <w:rPr>
        <w:rtl w:val="0"/>
      </w:rPr>
      <w:t xml:space="preserve">Nebraska Department of Education, Office of Cooridnated Student Support Services</w:t>
    </w:r>
  </w:p>
  <w:p w:rsidR="00000000" w:rsidDel="00000000" w:rsidP="00000000" w:rsidRDefault="00000000" w:rsidRPr="00000000" w14:paraId="00000048">
    <w:pPr>
      <w:spacing w:after="0" w:lineRule="auto"/>
      <w:rPr>
        <w:i w:val="1"/>
        <w:sz w:val="16"/>
        <w:szCs w:val="16"/>
      </w:rPr>
    </w:pPr>
    <w:r w:rsidDel="00000000" w:rsidR="00000000" w:rsidRPr="00000000">
      <w:rPr>
        <w:i w:val="1"/>
        <w:sz w:val="16"/>
        <w:szCs w:val="16"/>
        <w:rtl w:val="0"/>
      </w:rPr>
      <w:t xml:space="preserve">Adapted from the Let’s Eat Healthy Program resources</w:t>
    </w:r>
  </w:p>
  <w:p w:rsidR="00000000" w:rsidDel="00000000" w:rsidP="00000000" w:rsidRDefault="00000000" w:rsidRPr="00000000" w14:paraId="00000049">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basedOn w:val="Normal"/>
    <w:link w:val="FooterChar"/>
    <w:uiPriority w:val="99"/>
    <w:unhideWhenUsed w:val="1"/>
    <w:rsid w:val="005A3BC7"/>
    <w:pPr>
      <w:tabs>
        <w:tab w:val="center" w:pos="4680"/>
        <w:tab w:val="right" w:pos="9360"/>
      </w:tabs>
      <w:spacing w:after="0" w:line="240" w:lineRule="auto"/>
    </w:pPr>
    <w:rPr>
      <w:rFonts w:ascii="Arial" w:eastAsia="Times New Roman" w:hAnsi="Arial"/>
      <w:sz w:val="24"/>
    </w:rPr>
  </w:style>
  <w:style w:type="character" w:styleId="FooterChar" w:customStyle="1">
    <w:name w:val="Footer Char"/>
    <w:basedOn w:val="DefaultParagraphFont"/>
    <w:link w:val="Footer"/>
    <w:uiPriority w:val="99"/>
    <w:rsid w:val="005A3BC7"/>
    <w:rPr>
      <w:rFonts w:ascii="Arial" w:eastAsia="Times New Roman" w:hAnsi="Arial"/>
      <w:sz w:val="24"/>
    </w:rPr>
  </w:style>
  <w:style w:type="table" w:styleId="GridTable4-Accent51" w:customStyle="1">
    <w:name w:val="Grid Table 4 - Accent 51"/>
    <w:basedOn w:val="TableNormal"/>
    <w:next w:val="GridTable4-Accent5"/>
    <w:uiPriority w:val="49"/>
    <w:rsid w:val="005A3BC7"/>
    <w:pPr>
      <w:spacing w:after="0" w:line="240" w:lineRule="auto"/>
    </w:pPr>
    <w:rPr>
      <w:rFonts w:eastAsia="Times New Roman"/>
    </w:rPr>
    <w:tblPr>
      <w:tblStyleRowBandSize w:val="1"/>
      <w:tblStyleColBandSize w:val="1"/>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Pr>
    <w:tblStylePr w:type="firstRow">
      <w:rPr>
        <w:b w:val="1"/>
        <w:bCs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bCs w:val="1"/>
      </w:rPr>
      <w:tblPr/>
      <w:tcPr>
        <w:tcBorders>
          <w:top w:color="4472c4" w:space="0" w:sz="4" w:val="double"/>
        </w:tcBorders>
      </w:tcPr>
    </w:tblStylePr>
    <w:tblStylePr w:type="firstCol">
      <w:rPr>
        <w:b w:val="1"/>
        <w:bCs w:val="1"/>
      </w:rPr>
    </w:tblStylePr>
    <w:tblStylePr w:type="lastCol">
      <w:rPr>
        <w:b w:val="1"/>
        <w:bCs w:val="1"/>
      </w:rPr>
    </w:tblStylePr>
    <w:tblStylePr w:type="band1Vert">
      <w:tblPr/>
      <w:tcPr>
        <w:shd w:color="auto" w:fill="d9e2f3" w:val="clear"/>
      </w:tcPr>
    </w:tblStylePr>
    <w:tblStylePr w:type="band1Horz">
      <w:tblPr/>
      <w:tcPr>
        <w:shd w:color="auto" w:fill="d9e2f3" w:val="clear"/>
      </w:tcPr>
    </w:tblStylePr>
  </w:style>
  <w:style w:type="table" w:styleId="GridTable4-Accent5">
    <w:name w:val="Grid Table 4 Accent 5"/>
    <w:basedOn w:val="TableNormal"/>
    <w:uiPriority w:val="49"/>
    <w:rsid w:val="005A3BC7"/>
    <w:pPr>
      <w:spacing w:after="0" w:line="240" w:lineRule="auto"/>
    </w:p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color w:val="ffffff" w:themeColor="background1"/>
      </w:rPr>
      <w:tblPr/>
      <w:tcPr>
        <w:tcBorders>
          <w:top w:color="5b9bd5" w:space="0" w:sz="4" w:themeColor="accent5" w:val="single"/>
          <w:left w:color="5b9bd5" w:space="0" w:sz="4" w:themeColor="accent5" w:val="single"/>
          <w:bottom w:color="5b9bd5" w:space="0" w:sz="4" w:themeColor="accent5" w:val="single"/>
          <w:right w:color="5b9bd5" w:space="0" w:sz="4" w:themeColor="accent5" w:val="single"/>
          <w:insideH w:space="0" w:sz="0" w:val="nil"/>
          <w:insideV w:space="0" w:sz="0" w:val="nil"/>
        </w:tcBorders>
        <w:shd w:color="auto" w:fill="5b9bd5" w:themeFill="accent5" w:val="clear"/>
      </w:tcPr>
    </w:tblStylePr>
    <w:tblStylePr w:type="lastRow">
      <w:rPr>
        <w:b w:val="1"/>
        <w:bCs w:val="1"/>
      </w:rPr>
      <w:tblPr/>
      <w:tcPr>
        <w:tcBorders>
          <w:top w:color="5b9bd5" w:space="0" w:sz="4" w:themeColor="accent5"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1" Type="http://schemas.openxmlformats.org/officeDocument/2006/relationships/hyperlink" Target="mailto:jessie.coffey@nebraska.gov" TargetMode="External"/><Relationship Id="rId10" Type="http://schemas.openxmlformats.org/officeDocument/2006/relationships/hyperlink" Target="https://docs.google.com/document/d/1tsc8wzbs7MKy2l0N59wPjig_Z1-_ux0n/edit" TargetMode="Externa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argentpublicschools.org/vnews/display.v/SEC/School%20Wellness"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ns.usda.gov/cn/sp052022-questions-answers-program-operators" TargetMode="External"/><Relationship Id="rId8" Type="http://schemas.openxmlformats.org/officeDocument/2006/relationships/hyperlink" Target="https://www.fns.usda.gov/sites/default/files/resource-files/allfoods_summarychart.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GwpuEoYkpihtYTbVKJhm4xevyg==">CgMxLjAaMAoBMBIrCikIB0IlChFRdWF0dHJvY2VudG8gU2FucxIQQXJpYWwgVW5pY29kZSBNUxowCgExEisKKQgHQiUKEVF1YXR0cm9jZW50byBTYW5zEhBBcmlhbCBVbmljb2RlIE1TGjAKATISKwopCAdCJQoRUXVhdHRyb2NlbnRvIFNhbnMSEEFyaWFsIFVuaWNvZGUgTVM4AHIhMTNHeklrVlo3OFJEaER4dWZCejYwX3JVb2M4V2hFamZX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2022-10-03T16:34:00Z</dcterms:created>
  <dc:creator>MaryAnn Mills</dc:creator>
</cp:coreProperties>
</file>